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7B" w:rsidRDefault="00E7757B" w:rsidP="00E7757B">
      <w:pPr>
        <w:jc w:val="center"/>
        <w:rPr>
          <w:b/>
          <w:i/>
          <w:u w:val="single"/>
        </w:rPr>
      </w:pPr>
      <w:r w:rsidRPr="00E7757B">
        <w:rPr>
          <w:b/>
          <w:i/>
          <w:noProof/>
          <w:lang w:val="es-ES" w:eastAsia="es-ES"/>
        </w:rPr>
        <w:drawing>
          <wp:inline distT="0" distB="0" distL="0" distR="0">
            <wp:extent cx="4077269" cy="1000265"/>
            <wp:effectExtent l="19050" t="0" r="0" b="0"/>
            <wp:docPr id="1" name="0 Imagen" descr="urba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trans.png"/>
                    <pic:cNvPicPr/>
                  </pic:nvPicPr>
                  <pic:blipFill>
                    <a:blip r:embed="rId5"/>
                    <a:stretch>
                      <a:fillRect/>
                    </a:stretch>
                  </pic:blipFill>
                  <pic:spPr>
                    <a:xfrm>
                      <a:off x="0" y="0"/>
                      <a:ext cx="4077269" cy="1000265"/>
                    </a:xfrm>
                    <a:prstGeom prst="rect">
                      <a:avLst/>
                    </a:prstGeom>
                  </pic:spPr>
                </pic:pic>
              </a:graphicData>
            </a:graphic>
          </wp:inline>
        </w:drawing>
      </w:r>
    </w:p>
    <w:p w:rsidR="00E7757B" w:rsidRDefault="00E7757B" w:rsidP="00E7757B">
      <w:pPr>
        <w:jc w:val="both"/>
        <w:rPr>
          <w:b/>
          <w:i/>
          <w:u w:val="single"/>
        </w:rPr>
      </w:pPr>
      <w:r>
        <w:rPr>
          <w:b/>
          <w:i/>
          <w:u w:val="single"/>
        </w:rPr>
        <w:t>SEMINARIO DE TRANSPORTE FERROVIARIO</w:t>
      </w:r>
    </w:p>
    <w:p w:rsidR="00E7757B" w:rsidRPr="005517B8" w:rsidRDefault="00E7757B" w:rsidP="00E7757B">
      <w:pPr>
        <w:jc w:val="both"/>
      </w:pPr>
      <w:r w:rsidRPr="005517B8">
        <w:t>Jueves 6 de febrero</w:t>
      </w:r>
    </w:p>
    <w:tbl>
      <w:tblPr>
        <w:tblStyle w:val="Tablaconcuadrcula"/>
        <w:tblW w:w="0" w:type="auto"/>
        <w:tblLook w:val="04A0"/>
      </w:tblPr>
      <w:tblGrid>
        <w:gridCol w:w="1587"/>
        <w:gridCol w:w="6973"/>
      </w:tblGrid>
      <w:tr w:rsidR="00E7757B" w:rsidTr="00C82C71">
        <w:tc>
          <w:tcPr>
            <w:tcW w:w="1587" w:type="dxa"/>
          </w:tcPr>
          <w:p w:rsidR="00E7757B" w:rsidRDefault="00E7757B" w:rsidP="00C82C71">
            <w:pPr>
              <w:spacing w:before="20" w:after="20" w:line="312" w:lineRule="auto"/>
              <w:jc w:val="center"/>
            </w:pPr>
            <w:r>
              <w:t>8:45 – 9:00</w:t>
            </w:r>
          </w:p>
        </w:tc>
        <w:tc>
          <w:tcPr>
            <w:tcW w:w="6973" w:type="dxa"/>
          </w:tcPr>
          <w:p w:rsidR="00E7757B" w:rsidRDefault="00E7757B" w:rsidP="00C82C71">
            <w:pPr>
              <w:spacing w:before="20" w:after="20" w:line="312" w:lineRule="auto"/>
              <w:jc w:val="both"/>
            </w:pPr>
            <w:r>
              <w:t>Café y acreditación</w:t>
            </w:r>
          </w:p>
        </w:tc>
      </w:tr>
      <w:tr w:rsidR="00E7757B" w:rsidTr="00C82C71">
        <w:tc>
          <w:tcPr>
            <w:tcW w:w="1587" w:type="dxa"/>
          </w:tcPr>
          <w:p w:rsidR="00E7757B" w:rsidRDefault="00E7757B" w:rsidP="00C82C71">
            <w:pPr>
              <w:spacing w:before="20" w:after="20" w:line="312" w:lineRule="auto"/>
              <w:jc w:val="center"/>
            </w:pPr>
            <w:r>
              <w:t>9:00 – 10:30</w:t>
            </w:r>
          </w:p>
        </w:tc>
        <w:tc>
          <w:tcPr>
            <w:tcW w:w="6973" w:type="dxa"/>
          </w:tcPr>
          <w:p w:rsidR="00E7757B" w:rsidRDefault="00E7757B" w:rsidP="00C82C71">
            <w:pPr>
              <w:spacing w:before="20" w:after="20" w:line="312" w:lineRule="auto"/>
              <w:jc w:val="both"/>
              <w:rPr>
                <w:b/>
              </w:rPr>
            </w:pPr>
            <w:r>
              <w:rPr>
                <w:b/>
              </w:rPr>
              <w:t>Introducción</w:t>
            </w:r>
          </w:p>
          <w:p w:rsidR="00E7757B" w:rsidRPr="005517B8" w:rsidRDefault="00E7757B" w:rsidP="00C82C71">
            <w:pPr>
              <w:spacing w:before="20" w:after="20" w:line="312" w:lineRule="auto"/>
              <w:jc w:val="both"/>
              <w:rPr>
                <w:b/>
              </w:rPr>
            </w:pPr>
            <w:r>
              <w:rPr>
                <w:b/>
              </w:rPr>
              <w:t>Evolución del ferrocarril en España y lecciones aprendidas para Cuba. Modelos de gestión y financiación</w:t>
            </w:r>
          </w:p>
          <w:p w:rsidR="00E7757B" w:rsidRPr="005517B8" w:rsidRDefault="00E7757B" w:rsidP="00C82C71">
            <w:pPr>
              <w:spacing w:before="20" w:after="20" w:line="312" w:lineRule="auto"/>
              <w:jc w:val="both"/>
              <w:rPr>
                <w:i/>
              </w:rPr>
            </w:pPr>
            <w:r w:rsidRPr="005517B8">
              <w:rPr>
                <w:i/>
              </w:rPr>
              <w:t xml:space="preserve">Ponente: </w:t>
            </w:r>
            <w:r>
              <w:rPr>
                <w:i/>
              </w:rPr>
              <w:t>Julián Sastre</w:t>
            </w:r>
          </w:p>
        </w:tc>
      </w:tr>
      <w:tr w:rsidR="00E7757B" w:rsidTr="00C82C71">
        <w:tc>
          <w:tcPr>
            <w:tcW w:w="1587" w:type="dxa"/>
          </w:tcPr>
          <w:p w:rsidR="00E7757B" w:rsidRDefault="00E7757B" w:rsidP="00C82C71">
            <w:pPr>
              <w:spacing w:before="20" w:after="20" w:line="312" w:lineRule="auto"/>
              <w:jc w:val="center"/>
            </w:pPr>
            <w:r>
              <w:t>10:30 – 11.30</w:t>
            </w:r>
          </w:p>
        </w:tc>
        <w:tc>
          <w:tcPr>
            <w:tcW w:w="6973" w:type="dxa"/>
          </w:tcPr>
          <w:p w:rsidR="00E7757B" w:rsidRDefault="00E7757B" w:rsidP="00C82C71">
            <w:pPr>
              <w:spacing w:before="20" w:after="20" w:line="312" w:lineRule="auto"/>
              <w:jc w:val="both"/>
              <w:rPr>
                <w:b/>
              </w:rPr>
            </w:pPr>
            <w:r>
              <w:rPr>
                <w:b/>
              </w:rPr>
              <w:t>Tecnologías ferroviarias</w:t>
            </w:r>
          </w:p>
          <w:p w:rsidR="00E7757B" w:rsidRDefault="00E7757B" w:rsidP="00C82C71">
            <w:pPr>
              <w:spacing w:before="20" w:after="20" w:line="312" w:lineRule="auto"/>
              <w:jc w:val="both"/>
              <w:rPr>
                <w:b/>
              </w:rPr>
            </w:pPr>
            <w:r w:rsidRPr="005E034F">
              <w:rPr>
                <w:i/>
              </w:rPr>
              <w:t>Ponente: Eduardo Romo</w:t>
            </w:r>
          </w:p>
        </w:tc>
      </w:tr>
      <w:tr w:rsidR="00E7757B" w:rsidTr="00C82C71">
        <w:tc>
          <w:tcPr>
            <w:tcW w:w="1587" w:type="dxa"/>
          </w:tcPr>
          <w:p w:rsidR="00E7757B" w:rsidRDefault="00E7757B" w:rsidP="00C82C71">
            <w:pPr>
              <w:spacing w:before="20" w:after="20" w:line="312" w:lineRule="auto"/>
              <w:jc w:val="center"/>
            </w:pPr>
            <w:r>
              <w:t>11:30 – 11:50</w:t>
            </w:r>
          </w:p>
        </w:tc>
        <w:tc>
          <w:tcPr>
            <w:tcW w:w="6973" w:type="dxa"/>
          </w:tcPr>
          <w:p w:rsidR="00E7757B" w:rsidRDefault="00E7757B" w:rsidP="00C82C71">
            <w:pPr>
              <w:spacing w:before="20" w:after="20" w:line="312" w:lineRule="auto"/>
              <w:jc w:val="both"/>
            </w:pPr>
            <w:r>
              <w:t>Coffee break</w:t>
            </w:r>
          </w:p>
        </w:tc>
      </w:tr>
      <w:tr w:rsidR="00E7757B" w:rsidTr="00C82C71">
        <w:tc>
          <w:tcPr>
            <w:tcW w:w="1587" w:type="dxa"/>
          </w:tcPr>
          <w:p w:rsidR="00E7757B" w:rsidRDefault="00E7757B" w:rsidP="00C82C71">
            <w:pPr>
              <w:spacing w:before="20" w:after="20" w:line="312" w:lineRule="auto"/>
              <w:jc w:val="center"/>
            </w:pPr>
            <w:r>
              <w:t>11:50 – 12:50</w:t>
            </w:r>
          </w:p>
        </w:tc>
        <w:tc>
          <w:tcPr>
            <w:tcW w:w="6973" w:type="dxa"/>
          </w:tcPr>
          <w:p w:rsidR="00E7757B" w:rsidRPr="005517B8" w:rsidRDefault="00E7757B" w:rsidP="00C82C71">
            <w:pPr>
              <w:spacing w:before="20" w:after="20" w:line="312" w:lineRule="auto"/>
              <w:jc w:val="both"/>
              <w:rPr>
                <w:b/>
              </w:rPr>
            </w:pPr>
            <w:r>
              <w:rPr>
                <w:b/>
              </w:rPr>
              <w:t>Implicaciones en la operación y mantenimiento de los criterios de diseño</w:t>
            </w:r>
          </w:p>
          <w:p w:rsidR="00E7757B" w:rsidRDefault="00E7757B" w:rsidP="00C82C71">
            <w:pPr>
              <w:spacing w:before="20" w:after="20" w:line="312" w:lineRule="auto"/>
              <w:jc w:val="both"/>
            </w:pPr>
            <w:r w:rsidRPr="005517B8">
              <w:rPr>
                <w:i/>
              </w:rPr>
              <w:t xml:space="preserve">Ponente: </w:t>
            </w:r>
            <w:r>
              <w:rPr>
                <w:i/>
              </w:rPr>
              <w:t>Julián Sastre</w:t>
            </w:r>
          </w:p>
        </w:tc>
      </w:tr>
      <w:tr w:rsidR="00E7757B" w:rsidTr="00C82C71">
        <w:tc>
          <w:tcPr>
            <w:tcW w:w="1587" w:type="dxa"/>
          </w:tcPr>
          <w:p w:rsidR="00E7757B" w:rsidRDefault="00E7757B" w:rsidP="00C82C71">
            <w:pPr>
              <w:spacing w:before="20" w:after="20" w:line="312" w:lineRule="auto"/>
              <w:jc w:val="center"/>
            </w:pPr>
            <w:r>
              <w:t>12:50 – 13:30</w:t>
            </w:r>
          </w:p>
        </w:tc>
        <w:tc>
          <w:tcPr>
            <w:tcW w:w="6973" w:type="dxa"/>
          </w:tcPr>
          <w:p w:rsidR="00E7757B" w:rsidRPr="005517B8" w:rsidRDefault="00E7757B" w:rsidP="00C82C71">
            <w:pPr>
              <w:spacing w:before="20" w:after="20" w:line="312" w:lineRule="auto"/>
              <w:jc w:val="both"/>
              <w:rPr>
                <w:b/>
              </w:rPr>
            </w:pPr>
            <w:r>
              <w:rPr>
                <w:b/>
              </w:rPr>
              <w:t xml:space="preserve">Metodología en el cálculo de la operación </w:t>
            </w:r>
          </w:p>
          <w:p w:rsidR="00E7757B" w:rsidRDefault="00E7757B" w:rsidP="00C82C71">
            <w:pPr>
              <w:spacing w:before="20" w:after="20" w:line="312" w:lineRule="auto"/>
              <w:jc w:val="both"/>
            </w:pPr>
            <w:r>
              <w:rPr>
                <w:i/>
              </w:rPr>
              <w:t>Ponente: David Álvarez</w:t>
            </w:r>
          </w:p>
        </w:tc>
      </w:tr>
      <w:tr w:rsidR="00E7757B" w:rsidTr="00C82C71">
        <w:tc>
          <w:tcPr>
            <w:tcW w:w="1587" w:type="dxa"/>
          </w:tcPr>
          <w:p w:rsidR="00E7757B" w:rsidRDefault="00E7757B" w:rsidP="00C82C71">
            <w:pPr>
              <w:spacing w:before="20" w:after="20" w:line="312" w:lineRule="auto"/>
              <w:jc w:val="center"/>
            </w:pPr>
            <w:r>
              <w:t>13:30 – 14:00</w:t>
            </w:r>
          </w:p>
        </w:tc>
        <w:tc>
          <w:tcPr>
            <w:tcW w:w="6973" w:type="dxa"/>
          </w:tcPr>
          <w:p w:rsidR="00E7757B" w:rsidRDefault="00E7757B" w:rsidP="00C82C71">
            <w:pPr>
              <w:spacing w:before="20" w:after="20" w:line="312" w:lineRule="auto"/>
              <w:jc w:val="both"/>
              <w:rPr>
                <w:b/>
              </w:rPr>
            </w:pPr>
            <w:r>
              <w:rPr>
                <w:b/>
              </w:rPr>
              <w:t>Coloquio. Clausura</w:t>
            </w:r>
          </w:p>
        </w:tc>
      </w:tr>
    </w:tbl>
    <w:p w:rsidR="00F24F0E" w:rsidRDefault="00F24F0E"/>
    <w:p w:rsidR="00E7757B" w:rsidRPr="00C237D4" w:rsidRDefault="00E7757B" w:rsidP="00E7757B">
      <w:pPr>
        <w:jc w:val="both"/>
        <w:rPr>
          <w:b/>
          <w:i/>
          <w:u w:val="single"/>
        </w:rPr>
      </w:pPr>
      <w:r w:rsidRPr="00C237D4">
        <w:rPr>
          <w:b/>
          <w:i/>
          <w:u w:val="single"/>
        </w:rPr>
        <w:t>SEMBLANZA DE LOS PONENTES</w:t>
      </w:r>
    </w:p>
    <w:p w:rsidR="00E7757B" w:rsidRPr="009C099D" w:rsidRDefault="00E7757B" w:rsidP="00E7757B">
      <w:pPr>
        <w:jc w:val="both"/>
        <w:rPr>
          <w:rFonts w:ascii="Calibri" w:hAnsi="Calibri"/>
        </w:rPr>
      </w:pPr>
      <w:r w:rsidRPr="009C099D">
        <w:rPr>
          <w:rFonts w:ascii="Calibri" w:hAnsi="Calibri"/>
          <w:b/>
        </w:rPr>
        <w:t>Julián Sastre González</w:t>
      </w:r>
      <w:r w:rsidRPr="009C099D">
        <w:rPr>
          <w:rFonts w:ascii="Calibri" w:hAnsi="Calibri"/>
        </w:rPr>
        <w:t>, Dr. Ingeniero de Caminos, Canales y Puertos por la Universidad Politécnica de Madrid, con las especialidades de Transportes y Urbanismo y Ordenación del Territorio</w:t>
      </w:r>
      <w:r>
        <w:rPr>
          <w:rFonts w:ascii="Calibri" w:hAnsi="Calibri"/>
        </w:rPr>
        <w:t>,</w:t>
      </w:r>
      <w:r w:rsidRPr="009C099D">
        <w:rPr>
          <w:rFonts w:ascii="Calibri" w:hAnsi="Calibri"/>
        </w:rPr>
        <w:t xml:space="preserve"> con 25 años de experiencia profesional. Es investigador sénior de la Fundación Caminos de Hierro. También es profesor “Ad Honorem” de la Universidad de Sevilla.</w:t>
      </w:r>
    </w:p>
    <w:p w:rsidR="00E7757B" w:rsidRPr="009C099D" w:rsidRDefault="00E7757B" w:rsidP="00E7757B">
      <w:pPr>
        <w:jc w:val="both"/>
        <w:rPr>
          <w:rFonts w:ascii="Calibri" w:hAnsi="Calibri"/>
        </w:rPr>
      </w:pPr>
      <w:r w:rsidRPr="009C099D">
        <w:rPr>
          <w:rFonts w:ascii="Calibri" w:hAnsi="Calibri"/>
        </w:rPr>
        <w:t>Comenzó su carrera profesional en el Consorcio Regional de Transportes de Madrid (1986 a 1989) para después dedicarse a la consultoría de transportes en España y en diversos ámbitos internacionales con diversas empresas de ingeniería. En la actualidad, y desde 2004, es consultor independiente e investigador abarcando los campos de la planificación, financiación, operación y gestión del transporte, trabajando en diversos países tanto para otras empresas como para organismos multilaterales como el Banco Mundial y el Banco Interamericano de Desarrollo. Es autor de numerosas publicaciones técnicas, científicas y divulgativas.</w:t>
      </w:r>
    </w:p>
    <w:p w:rsidR="00E7757B" w:rsidRDefault="00E7757B" w:rsidP="00E7757B">
      <w:pPr>
        <w:jc w:val="both"/>
        <w:rPr>
          <w:rFonts w:ascii="Calibri" w:hAnsi="Calibri"/>
        </w:rPr>
      </w:pPr>
      <w:r w:rsidRPr="009C099D">
        <w:rPr>
          <w:rFonts w:ascii="Calibri" w:hAnsi="Calibri"/>
          <w:b/>
        </w:rPr>
        <w:t>David Álvarez Castillo</w:t>
      </w:r>
      <w:r w:rsidRPr="009C099D">
        <w:rPr>
          <w:rFonts w:ascii="Calibri" w:hAnsi="Calibri"/>
        </w:rPr>
        <w:t xml:space="preserve">, Ingeniero de Caminos, Canales y Puertos por la </w:t>
      </w:r>
      <w:r>
        <w:rPr>
          <w:rFonts w:ascii="Calibri" w:hAnsi="Calibri"/>
        </w:rPr>
        <w:t>Universidad Politécnica</w:t>
      </w:r>
      <w:r w:rsidRPr="009C099D">
        <w:rPr>
          <w:rFonts w:ascii="Calibri" w:hAnsi="Calibri"/>
        </w:rPr>
        <w:t xml:space="preserve"> de Madrid </w:t>
      </w:r>
      <w:r>
        <w:rPr>
          <w:rFonts w:ascii="Calibri" w:hAnsi="Calibri"/>
        </w:rPr>
        <w:t>con</w:t>
      </w:r>
      <w:r w:rsidRPr="009C099D">
        <w:rPr>
          <w:rFonts w:ascii="Calibri" w:hAnsi="Calibri"/>
        </w:rPr>
        <w:t xml:space="preserve"> la especialidad de Transporte</w:t>
      </w:r>
      <w:r>
        <w:rPr>
          <w:rFonts w:ascii="Calibri" w:hAnsi="Calibri"/>
        </w:rPr>
        <w:t>, con casi 15 años de experiencia</w:t>
      </w:r>
      <w:r w:rsidRPr="009C099D">
        <w:rPr>
          <w:rFonts w:ascii="Calibri" w:hAnsi="Calibri"/>
        </w:rPr>
        <w:t xml:space="preserve">. Inició su trayectoria profesional en </w:t>
      </w:r>
      <w:proofErr w:type="spellStart"/>
      <w:r w:rsidRPr="009C099D">
        <w:rPr>
          <w:rFonts w:ascii="Calibri" w:hAnsi="Calibri"/>
        </w:rPr>
        <w:t>Taryet</w:t>
      </w:r>
      <w:proofErr w:type="spellEnd"/>
      <w:r w:rsidRPr="009C099D">
        <w:rPr>
          <w:rFonts w:ascii="Calibri" w:hAnsi="Calibri"/>
        </w:rPr>
        <w:t xml:space="preserve">, realizando diferentes funciones: encuestador, aforador, jefe de campo, etc. Después, trabajó en ingeniería, pasando por dos empresas en Madrid: </w:t>
      </w:r>
      <w:proofErr w:type="spellStart"/>
      <w:r w:rsidRPr="009C099D">
        <w:rPr>
          <w:rFonts w:ascii="Calibri" w:hAnsi="Calibri"/>
        </w:rPr>
        <w:t>Synconsult</w:t>
      </w:r>
      <w:proofErr w:type="spellEnd"/>
      <w:r w:rsidRPr="009C099D">
        <w:rPr>
          <w:rFonts w:ascii="Calibri" w:hAnsi="Calibri"/>
        </w:rPr>
        <w:t xml:space="preserve"> S.L. dentro del departamento de carreteras, y EPTISA S.A. dentro del departamento </w:t>
      </w:r>
      <w:r w:rsidRPr="009C099D">
        <w:rPr>
          <w:rFonts w:ascii="Calibri" w:hAnsi="Calibri"/>
        </w:rPr>
        <w:lastRenderedPageBreak/>
        <w:t xml:space="preserve">de Planificación del Transporte. Tras dos años de experiencia, comenzó su perfil de consultor en la empresa </w:t>
      </w:r>
      <w:proofErr w:type="spellStart"/>
      <w:r w:rsidRPr="009C099D">
        <w:rPr>
          <w:rFonts w:ascii="Calibri" w:hAnsi="Calibri"/>
        </w:rPr>
        <w:t>Consultrans</w:t>
      </w:r>
      <w:proofErr w:type="spellEnd"/>
      <w:r w:rsidRPr="009C099D">
        <w:rPr>
          <w:rFonts w:ascii="Calibri" w:hAnsi="Calibri"/>
        </w:rPr>
        <w:t xml:space="preserve">, en las oficinas de Sevilla, dentro del departamento de Transportes, profundizando en estudios de tráfico y demanda del transporte. Dos años después inició su etapa en la administración pública en el Consorcio Metropolitano de Transportes del Área de Málaga, donde realizó las tareas de Técnico en Transportes y Director de Planificación, gestionando los temas de creación de nuevas líneas, dirección de estudios, etc. </w:t>
      </w:r>
    </w:p>
    <w:p w:rsidR="00E7757B" w:rsidRPr="009C099D" w:rsidRDefault="00E7757B" w:rsidP="00E7757B">
      <w:pPr>
        <w:jc w:val="both"/>
        <w:rPr>
          <w:rFonts w:ascii="Calibri" w:hAnsi="Calibri"/>
        </w:rPr>
      </w:pPr>
      <w:r w:rsidRPr="009C099D">
        <w:rPr>
          <w:rFonts w:ascii="Calibri" w:hAnsi="Calibri"/>
        </w:rPr>
        <w:t xml:space="preserve">Desde el año 2008 trabaja como consultor independiente, dedicándose a colaborar con otras empresas o a la realización de estudios completos en el campo del tráfico, estudios de demanda de transporte público, planes de aparcamientos, planes de movilidad, trabajos de campo, </w:t>
      </w:r>
      <w:r>
        <w:rPr>
          <w:rFonts w:ascii="Calibri" w:hAnsi="Calibri"/>
        </w:rPr>
        <w:t xml:space="preserve">planificación y economía del transporte, </w:t>
      </w:r>
      <w:r w:rsidRPr="009C099D">
        <w:rPr>
          <w:rFonts w:ascii="Calibri" w:hAnsi="Calibri"/>
        </w:rPr>
        <w:t xml:space="preserve">etc. </w:t>
      </w:r>
    </w:p>
    <w:p w:rsidR="00E7757B" w:rsidRDefault="00E7757B" w:rsidP="00E7757B">
      <w:pPr>
        <w:jc w:val="both"/>
        <w:rPr>
          <w:rFonts w:ascii="Calibri" w:hAnsi="Calibri"/>
        </w:rPr>
      </w:pPr>
      <w:r w:rsidRPr="009C099D">
        <w:rPr>
          <w:rFonts w:ascii="Calibri" w:hAnsi="Calibri"/>
        </w:rPr>
        <w:t xml:space="preserve">En el campo de los Estudios de Tráfico, posee gran experiencia al haber realizado en los últimos años diferentes análisis de movilidad y tráfico, a nivel nacional (Jaén, Málaga, Cádiz, Madrid), con especial incidencia en los nuevos desarrollos directamente relacionados con nuevas áreas comerciales, empresariales o logísticas. También destaca su participación en proyectos internacionales de demanda del transporte público </w:t>
      </w:r>
      <w:r>
        <w:rPr>
          <w:rFonts w:ascii="Calibri" w:hAnsi="Calibri"/>
        </w:rPr>
        <w:t xml:space="preserve">(Polonia, Bolivia) y Sistemas Inteligentes de Transporte (Brasil) </w:t>
      </w:r>
      <w:r w:rsidRPr="009C099D">
        <w:rPr>
          <w:rFonts w:ascii="Calibri" w:hAnsi="Calibri"/>
        </w:rPr>
        <w:t>así como diferentes proyectos de investigación ferroviario</w:t>
      </w:r>
      <w:r>
        <w:rPr>
          <w:rFonts w:ascii="Calibri" w:hAnsi="Calibri"/>
        </w:rPr>
        <w:t xml:space="preserve"> y de seguridad vial</w:t>
      </w:r>
      <w:r w:rsidRPr="009C099D">
        <w:rPr>
          <w:rFonts w:ascii="Calibri" w:hAnsi="Calibri"/>
        </w:rPr>
        <w:t>.</w:t>
      </w:r>
    </w:p>
    <w:p w:rsidR="00E7757B" w:rsidRDefault="00E7757B" w:rsidP="00E7757B">
      <w:pPr>
        <w:jc w:val="both"/>
      </w:pPr>
      <w:r>
        <w:t xml:space="preserve">En el campo de los Planes de Movilidad Urbana Sostenible, dispone de alta experiencia al haber participado como colaborador con otras empresas en la realización de los PMUS de Valdemoro y </w:t>
      </w:r>
      <w:proofErr w:type="spellStart"/>
      <w:r>
        <w:t>Majadahonda</w:t>
      </w:r>
      <w:proofErr w:type="spellEnd"/>
      <w:r>
        <w:t xml:space="preserve"> (ambos en Madrid) y de Alcalá de Guadaira (Sevilla) así como de disponer del título emitido por la universidad de Málaga por la realización del “Curso Especialista en Movilidad Urbana Sostenible”.</w:t>
      </w:r>
    </w:p>
    <w:p w:rsidR="00E7757B" w:rsidRDefault="00E7757B" w:rsidP="00E7757B">
      <w:pPr>
        <w:jc w:val="both"/>
      </w:pPr>
      <w:r w:rsidRPr="00CC401E">
        <w:rPr>
          <w:b/>
        </w:rPr>
        <w:t>Noemí Vaquero Redondo</w:t>
      </w:r>
      <w:r>
        <w:t xml:space="preserve"> es diplomada en Relaciones Laborales por la Universidad Complutense de Madrid, especializada en práctica jurídica laboral. Además, es especialista en Movilidad Urbana Sostenible por el Colegio de Ingenieros de Caminos de Madrid, y en estrategia europea de desarrollo sostenible. </w:t>
      </w:r>
    </w:p>
    <w:p w:rsidR="00E7757B" w:rsidRPr="00CC401E" w:rsidRDefault="00E7757B" w:rsidP="00E7757B">
      <w:pPr>
        <w:jc w:val="both"/>
      </w:pPr>
      <w:r>
        <w:t xml:space="preserve">Desde hace diez años, trabaja como responsable de la Delegación de Transportes del Ayuntamiento de Aranjuez. </w:t>
      </w:r>
      <w:r w:rsidRPr="00CC401E">
        <w:t>Dentro de las principales funciones destaca la gestión y dirección de proyectos europeos de movilidad urbana sostenible. En concreto, programas que se desarrollan ent</w:t>
      </w:r>
      <w:r>
        <w:t>re varios municipios de la UE</w:t>
      </w:r>
      <w:r w:rsidRPr="00CC401E">
        <w:t>.</w:t>
      </w:r>
    </w:p>
    <w:p w:rsidR="00E7757B" w:rsidRDefault="00E7757B" w:rsidP="00E7757B">
      <w:pPr>
        <w:jc w:val="both"/>
      </w:pPr>
      <w:r w:rsidRPr="00CC401E">
        <w:t>En los programas europeos ha dirigido la implantación del sistema de préstamos público de bicicletas de la ciudad de Aranjuez, el proyecto de movilidad a las escuelas mediante “</w:t>
      </w:r>
      <w:proofErr w:type="spellStart"/>
      <w:r w:rsidRPr="00CC401E">
        <w:t>pedibuses</w:t>
      </w:r>
      <w:proofErr w:type="spellEnd"/>
      <w:r w:rsidRPr="00CC401E">
        <w:t>” con colaboración ciudadana, proyecto de coche compartido, proyectos y actuaciones de movilidad e integración de zonas verdes, organización de jornadas, campañas de promoción de la movilidad urbana sostenible, participación como ponente en seminarios organizados por otras entidades, gestión del servicio de taxi, así como del servicio de transporte público urbano e interurbano de Aranjuez.</w:t>
      </w:r>
    </w:p>
    <w:p w:rsidR="00E7757B" w:rsidRPr="004F330F" w:rsidRDefault="00E7757B" w:rsidP="00E7757B">
      <w:pPr>
        <w:jc w:val="both"/>
        <w:rPr>
          <w:rFonts w:ascii="Calibri" w:hAnsi="Calibri"/>
        </w:rPr>
      </w:pPr>
      <w:r w:rsidRPr="004F330F">
        <w:rPr>
          <w:rFonts w:ascii="Calibri" w:hAnsi="Calibri"/>
          <w:b/>
        </w:rPr>
        <w:t>Eduardo Romo</w:t>
      </w:r>
      <w:r w:rsidRPr="004F330F">
        <w:rPr>
          <w:rFonts w:ascii="Calibri" w:hAnsi="Calibri"/>
        </w:rPr>
        <w:t xml:space="preserve"> es un experto internacional en sistemas ferroviarios. Con una</w:t>
      </w:r>
      <w:r>
        <w:rPr>
          <w:rFonts w:ascii="Calibri" w:hAnsi="Calibri"/>
        </w:rPr>
        <w:t xml:space="preserve"> </w:t>
      </w:r>
      <w:r w:rsidRPr="004F330F">
        <w:rPr>
          <w:rFonts w:ascii="Calibri" w:hAnsi="Calibri"/>
        </w:rPr>
        <w:t>destacada especialización en ferrocarriles de alta velocidad, ha llevado a cabo más de</w:t>
      </w:r>
      <w:r>
        <w:rPr>
          <w:rFonts w:ascii="Calibri" w:hAnsi="Calibri"/>
        </w:rPr>
        <w:t xml:space="preserve"> </w:t>
      </w:r>
      <w:r w:rsidRPr="004F330F">
        <w:rPr>
          <w:rFonts w:ascii="Calibri" w:hAnsi="Calibri"/>
        </w:rPr>
        <w:t>un centenar de estudios y proyectos de infraestructura, vía, equipamiento,</w:t>
      </w:r>
      <w:r>
        <w:rPr>
          <w:rFonts w:ascii="Calibri" w:hAnsi="Calibri"/>
        </w:rPr>
        <w:t xml:space="preserve"> </w:t>
      </w:r>
      <w:r w:rsidRPr="004F330F">
        <w:rPr>
          <w:rFonts w:ascii="Calibri" w:hAnsi="Calibri"/>
        </w:rPr>
        <w:t>instalaciones y estaciones para líneas interurbanas y urbanas (metros, tranvías y</w:t>
      </w:r>
      <w:r>
        <w:rPr>
          <w:rFonts w:ascii="Calibri" w:hAnsi="Calibri"/>
        </w:rPr>
        <w:t xml:space="preserve"> </w:t>
      </w:r>
      <w:r w:rsidRPr="004F330F">
        <w:rPr>
          <w:rFonts w:ascii="Calibri" w:hAnsi="Calibri"/>
        </w:rPr>
        <w:t>metros ligeros) así como para redes de mercancías.</w:t>
      </w:r>
    </w:p>
    <w:p w:rsidR="00E7757B" w:rsidRPr="004F330F" w:rsidRDefault="00E7757B" w:rsidP="00E7757B">
      <w:pPr>
        <w:jc w:val="both"/>
        <w:rPr>
          <w:rFonts w:ascii="Calibri" w:hAnsi="Calibri"/>
        </w:rPr>
      </w:pPr>
      <w:r w:rsidRPr="004F330F">
        <w:rPr>
          <w:rFonts w:ascii="Calibri" w:hAnsi="Calibri"/>
        </w:rPr>
        <w:lastRenderedPageBreak/>
        <w:t>Ha desarrollado una intensa actividad internacional (Paquistán, Malasia, Portugal,</w:t>
      </w:r>
      <w:r>
        <w:rPr>
          <w:rFonts w:ascii="Calibri" w:hAnsi="Calibri"/>
        </w:rPr>
        <w:t xml:space="preserve"> </w:t>
      </w:r>
      <w:r w:rsidRPr="004F330F">
        <w:rPr>
          <w:rFonts w:ascii="Calibri" w:hAnsi="Calibri"/>
        </w:rPr>
        <w:t>China, Turquía, India, Estados Unidos...) abordando el ferrocarril desde su</w:t>
      </w:r>
      <w:r>
        <w:rPr>
          <w:rFonts w:ascii="Calibri" w:hAnsi="Calibri"/>
        </w:rPr>
        <w:t xml:space="preserve"> </w:t>
      </w:r>
      <w:r w:rsidRPr="004F330F">
        <w:rPr>
          <w:rFonts w:ascii="Calibri" w:hAnsi="Calibri"/>
        </w:rPr>
        <w:t>concepción, planificación y diseño a su construcción, operación y mantenimiento.</w:t>
      </w:r>
    </w:p>
    <w:p w:rsidR="00E7757B" w:rsidRPr="004F330F" w:rsidRDefault="00E7757B" w:rsidP="00E7757B">
      <w:pPr>
        <w:jc w:val="both"/>
        <w:rPr>
          <w:rFonts w:ascii="Calibri" w:hAnsi="Calibri"/>
        </w:rPr>
      </w:pPr>
      <w:r w:rsidRPr="004F330F">
        <w:rPr>
          <w:rFonts w:ascii="Calibri" w:hAnsi="Calibri"/>
        </w:rPr>
        <w:t>Con gran experiencia en el campo de la investigación y la innovación en tecnologías</w:t>
      </w:r>
      <w:r>
        <w:rPr>
          <w:rFonts w:ascii="Calibri" w:hAnsi="Calibri"/>
        </w:rPr>
        <w:t xml:space="preserve"> </w:t>
      </w:r>
      <w:r w:rsidRPr="004F330F">
        <w:rPr>
          <w:rFonts w:ascii="Calibri" w:hAnsi="Calibri"/>
        </w:rPr>
        <w:t>ferroviarias, asimismo ha organizado y participado en numerosos congresos,</w:t>
      </w:r>
      <w:r>
        <w:rPr>
          <w:rFonts w:ascii="Calibri" w:hAnsi="Calibri"/>
        </w:rPr>
        <w:t xml:space="preserve"> </w:t>
      </w:r>
      <w:r w:rsidRPr="004F330F">
        <w:rPr>
          <w:rFonts w:ascii="Calibri" w:hAnsi="Calibri"/>
        </w:rPr>
        <w:t>seminarios y jornadas técnicas. A la publicación de diversos artículos en publicaciones</w:t>
      </w:r>
      <w:r>
        <w:rPr>
          <w:rFonts w:ascii="Calibri" w:hAnsi="Calibri"/>
        </w:rPr>
        <w:t xml:space="preserve"> </w:t>
      </w:r>
      <w:r w:rsidRPr="004F330F">
        <w:rPr>
          <w:rFonts w:ascii="Calibri" w:hAnsi="Calibri"/>
        </w:rPr>
        <w:t>especializadas se suma su actividad docente habiendo impartido diferentes cursos</w:t>
      </w:r>
      <w:r>
        <w:rPr>
          <w:rFonts w:ascii="Calibri" w:hAnsi="Calibri"/>
        </w:rPr>
        <w:t xml:space="preserve"> </w:t>
      </w:r>
      <w:r w:rsidRPr="004F330F">
        <w:rPr>
          <w:rFonts w:ascii="Calibri" w:hAnsi="Calibri"/>
        </w:rPr>
        <w:t>sobre ingeniería y técnicas ferroviarias</w:t>
      </w:r>
      <w:r>
        <w:rPr>
          <w:rFonts w:ascii="Calibri" w:hAnsi="Calibri"/>
        </w:rPr>
        <w:t>.</w:t>
      </w:r>
    </w:p>
    <w:p w:rsidR="00E7757B" w:rsidRPr="00CC401E" w:rsidRDefault="00E7757B" w:rsidP="00E7757B">
      <w:pPr>
        <w:jc w:val="both"/>
      </w:pPr>
    </w:p>
    <w:p w:rsidR="00E7757B" w:rsidRPr="009C099D" w:rsidRDefault="00E7757B" w:rsidP="00E7757B">
      <w:pPr>
        <w:jc w:val="both"/>
        <w:rPr>
          <w:rFonts w:ascii="Calibri" w:hAnsi="Calibri"/>
        </w:rPr>
      </w:pPr>
    </w:p>
    <w:p w:rsidR="00E7757B" w:rsidRDefault="00E7757B" w:rsidP="00E7757B">
      <w:pPr>
        <w:jc w:val="both"/>
      </w:pPr>
    </w:p>
    <w:p w:rsidR="00E7757B" w:rsidRDefault="00E7757B"/>
    <w:sectPr w:rsidR="00E7757B" w:rsidSect="00E7757B">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E6B74"/>
    <w:multiLevelType w:val="hybridMultilevel"/>
    <w:tmpl w:val="A4C831A8"/>
    <w:lvl w:ilvl="0" w:tplc="4E860490">
      <w:start w:val="1"/>
      <w:numFmt w:val="decimal"/>
      <w:pStyle w:val="Ttulo1"/>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757B"/>
    <w:rsid w:val="00004D80"/>
    <w:rsid w:val="00023F62"/>
    <w:rsid w:val="0002641D"/>
    <w:rsid w:val="00026E35"/>
    <w:rsid w:val="00026F3E"/>
    <w:rsid w:val="00042B33"/>
    <w:rsid w:val="00061F16"/>
    <w:rsid w:val="00071049"/>
    <w:rsid w:val="0007312E"/>
    <w:rsid w:val="000759F6"/>
    <w:rsid w:val="000916C5"/>
    <w:rsid w:val="0009221A"/>
    <w:rsid w:val="000973D6"/>
    <w:rsid w:val="000A2D46"/>
    <w:rsid w:val="000B1478"/>
    <w:rsid w:val="000B2A1B"/>
    <w:rsid w:val="000B7B21"/>
    <w:rsid w:val="000C172F"/>
    <w:rsid w:val="000C23EA"/>
    <w:rsid w:val="000C3730"/>
    <w:rsid w:val="000C4578"/>
    <w:rsid w:val="000C53D8"/>
    <w:rsid w:val="000C75B2"/>
    <w:rsid w:val="000D127E"/>
    <w:rsid w:val="000D2303"/>
    <w:rsid w:val="000D3E51"/>
    <w:rsid w:val="000D67C9"/>
    <w:rsid w:val="000D7446"/>
    <w:rsid w:val="000E0D44"/>
    <w:rsid w:val="000F505D"/>
    <w:rsid w:val="000F5781"/>
    <w:rsid w:val="00104685"/>
    <w:rsid w:val="00112485"/>
    <w:rsid w:val="00121782"/>
    <w:rsid w:val="0013228D"/>
    <w:rsid w:val="00132C36"/>
    <w:rsid w:val="00135484"/>
    <w:rsid w:val="00141670"/>
    <w:rsid w:val="00144BE7"/>
    <w:rsid w:val="0015002B"/>
    <w:rsid w:val="00156020"/>
    <w:rsid w:val="00156438"/>
    <w:rsid w:val="00160297"/>
    <w:rsid w:val="001630B0"/>
    <w:rsid w:val="00163B59"/>
    <w:rsid w:val="00165566"/>
    <w:rsid w:val="00171700"/>
    <w:rsid w:val="00171EB6"/>
    <w:rsid w:val="0019351A"/>
    <w:rsid w:val="00195B1B"/>
    <w:rsid w:val="001A06E0"/>
    <w:rsid w:val="001A70A0"/>
    <w:rsid w:val="001B2718"/>
    <w:rsid w:val="001B4B20"/>
    <w:rsid w:val="001B502D"/>
    <w:rsid w:val="001C2D24"/>
    <w:rsid w:val="001C63AD"/>
    <w:rsid w:val="001D49EA"/>
    <w:rsid w:val="001E10B6"/>
    <w:rsid w:val="001E11F3"/>
    <w:rsid w:val="001E2C68"/>
    <w:rsid w:val="001E30C3"/>
    <w:rsid w:val="001E778F"/>
    <w:rsid w:val="001F078C"/>
    <w:rsid w:val="001F4477"/>
    <w:rsid w:val="001F496D"/>
    <w:rsid w:val="001F4972"/>
    <w:rsid w:val="001F5692"/>
    <w:rsid w:val="00203B79"/>
    <w:rsid w:val="00205185"/>
    <w:rsid w:val="00206CA7"/>
    <w:rsid w:val="002072B7"/>
    <w:rsid w:val="0021006A"/>
    <w:rsid w:val="002158CD"/>
    <w:rsid w:val="00222E5B"/>
    <w:rsid w:val="002339A5"/>
    <w:rsid w:val="0024191F"/>
    <w:rsid w:val="0025307C"/>
    <w:rsid w:val="002557F6"/>
    <w:rsid w:val="00265C6B"/>
    <w:rsid w:val="002716AD"/>
    <w:rsid w:val="00274EF2"/>
    <w:rsid w:val="00276611"/>
    <w:rsid w:val="002768EB"/>
    <w:rsid w:val="00281832"/>
    <w:rsid w:val="002836FC"/>
    <w:rsid w:val="002854A9"/>
    <w:rsid w:val="00287EA4"/>
    <w:rsid w:val="0029032C"/>
    <w:rsid w:val="002A2ACE"/>
    <w:rsid w:val="002A2C74"/>
    <w:rsid w:val="002A4956"/>
    <w:rsid w:val="002A7DEF"/>
    <w:rsid w:val="002B00E9"/>
    <w:rsid w:val="002B1530"/>
    <w:rsid w:val="002B6BEE"/>
    <w:rsid w:val="002C079B"/>
    <w:rsid w:val="002C1F42"/>
    <w:rsid w:val="002C5D1E"/>
    <w:rsid w:val="002C6755"/>
    <w:rsid w:val="002D03AA"/>
    <w:rsid w:val="002D0D51"/>
    <w:rsid w:val="002D1604"/>
    <w:rsid w:val="002E5D7D"/>
    <w:rsid w:val="002F0BB9"/>
    <w:rsid w:val="002F5745"/>
    <w:rsid w:val="002F631A"/>
    <w:rsid w:val="00301EC6"/>
    <w:rsid w:val="00302603"/>
    <w:rsid w:val="00304407"/>
    <w:rsid w:val="00304FFF"/>
    <w:rsid w:val="003074FB"/>
    <w:rsid w:val="00307691"/>
    <w:rsid w:val="00311C3F"/>
    <w:rsid w:val="00311C4F"/>
    <w:rsid w:val="00314C9D"/>
    <w:rsid w:val="00315CF5"/>
    <w:rsid w:val="003257F4"/>
    <w:rsid w:val="0032701F"/>
    <w:rsid w:val="003271B3"/>
    <w:rsid w:val="00332AC3"/>
    <w:rsid w:val="0033309A"/>
    <w:rsid w:val="003538B7"/>
    <w:rsid w:val="00354DAB"/>
    <w:rsid w:val="00355135"/>
    <w:rsid w:val="00356F7F"/>
    <w:rsid w:val="003666F4"/>
    <w:rsid w:val="0037491A"/>
    <w:rsid w:val="00384286"/>
    <w:rsid w:val="00391805"/>
    <w:rsid w:val="00391B7E"/>
    <w:rsid w:val="00395943"/>
    <w:rsid w:val="003978FC"/>
    <w:rsid w:val="003A1778"/>
    <w:rsid w:val="003A2907"/>
    <w:rsid w:val="003A5935"/>
    <w:rsid w:val="003A5BA9"/>
    <w:rsid w:val="003B46CC"/>
    <w:rsid w:val="003C5A3A"/>
    <w:rsid w:val="003D1DAD"/>
    <w:rsid w:val="003E34BB"/>
    <w:rsid w:val="003E4DA6"/>
    <w:rsid w:val="003E62F8"/>
    <w:rsid w:val="003E6989"/>
    <w:rsid w:val="003E77E9"/>
    <w:rsid w:val="003F23D4"/>
    <w:rsid w:val="003F303D"/>
    <w:rsid w:val="003F47DB"/>
    <w:rsid w:val="004013F3"/>
    <w:rsid w:val="00404B24"/>
    <w:rsid w:val="0040523E"/>
    <w:rsid w:val="00410151"/>
    <w:rsid w:val="00413344"/>
    <w:rsid w:val="00416089"/>
    <w:rsid w:val="00423112"/>
    <w:rsid w:val="00423CB9"/>
    <w:rsid w:val="00424B03"/>
    <w:rsid w:val="00430AB6"/>
    <w:rsid w:val="00431F83"/>
    <w:rsid w:val="00432E7E"/>
    <w:rsid w:val="00437693"/>
    <w:rsid w:val="0044530A"/>
    <w:rsid w:val="00445F55"/>
    <w:rsid w:val="00457E54"/>
    <w:rsid w:val="00464892"/>
    <w:rsid w:val="004650D0"/>
    <w:rsid w:val="0047388E"/>
    <w:rsid w:val="00482DB4"/>
    <w:rsid w:val="004852DE"/>
    <w:rsid w:val="00492280"/>
    <w:rsid w:val="00497773"/>
    <w:rsid w:val="004A3D66"/>
    <w:rsid w:val="004A437E"/>
    <w:rsid w:val="004A7D3D"/>
    <w:rsid w:val="004B6AE6"/>
    <w:rsid w:val="004B6B55"/>
    <w:rsid w:val="004C1CE5"/>
    <w:rsid w:val="004C4D3F"/>
    <w:rsid w:val="004C5563"/>
    <w:rsid w:val="004C5BC6"/>
    <w:rsid w:val="004E1776"/>
    <w:rsid w:val="004E2913"/>
    <w:rsid w:val="004E2AA6"/>
    <w:rsid w:val="004E4403"/>
    <w:rsid w:val="004F1282"/>
    <w:rsid w:val="004F3729"/>
    <w:rsid w:val="004F77A5"/>
    <w:rsid w:val="005035FB"/>
    <w:rsid w:val="005047DF"/>
    <w:rsid w:val="00507A78"/>
    <w:rsid w:val="0051175F"/>
    <w:rsid w:val="00512969"/>
    <w:rsid w:val="00515531"/>
    <w:rsid w:val="00523A8D"/>
    <w:rsid w:val="0052696A"/>
    <w:rsid w:val="00530DBA"/>
    <w:rsid w:val="00532082"/>
    <w:rsid w:val="00532465"/>
    <w:rsid w:val="00534DB5"/>
    <w:rsid w:val="00545732"/>
    <w:rsid w:val="0054613E"/>
    <w:rsid w:val="00547A69"/>
    <w:rsid w:val="00553F60"/>
    <w:rsid w:val="00563C9D"/>
    <w:rsid w:val="005707DD"/>
    <w:rsid w:val="005749EF"/>
    <w:rsid w:val="0057662E"/>
    <w:rsid w:val="005778E5"/>
    <w:rsid w:val="005811AB"/>
    <w:rsid w:val="00586F2F"/>
    <w:rsid w:val="005911B1"/>
    <w:rsid w:val="00593C29"/>
    <w:rsid w:val="005969BF"/>
    <w:rsid w:val="005A25C1"/>
    <w:rsid w:val="005A273B"/>
    <w:rsid w:val="005A5AC2"/>
    <w:rsid w:val="005B10AC"/>
    <w:rsid w:val="005B4CB4"/>
    <w:rsid w:val="005B6644"/>
    <w:rsid w:val="005C0A9E"/>
    <w:rsid w:val="005C0B0F"/>
    <w:rsid w:val="005C48A1"/>
    <w:rsid w:val="005C7519"/>
    <w:rsid w:val="005D4DDC"/>
    <w:rsid w:val="005D5864"/>
    <w:rsid w:val="005E1F42"/>
    <w:rsid w:val="005F34B7"/>
    <w:rsid w:val="005F3DD1"/>
    <w:rsid w:val="005F6ED7"/>
    <w:rsid w:val="00601C3D"/>
    <w:rsid w:val="00607EC2"/>
    <w:rsid w:val="00621018"/>
    <w:rsid w:val="006247D4"/>
    <w:rsid w:val="00632102"/>
    <w:rsid w:val="00636ACD"/>
    <w:rsid w:val="00640E68"/>
    <w:rsid w:val="00641D7F"/>
    <w:rsid w:val="00672B19"/>
    <w:rsid w:val="00687445"/>
    <w:rsid w:val="0069161A"/>
    <w:rsid w:val="00693119"/>
    <w:rsid w:val="006A1A68"/>
    <w:rsid w:val="006A35D5"/>
    <w:rsid w:val="006A6CE6"/>
    <w:rsid w:val="006B4DA0"/>
    <w:rsid w:val="006D0B43"/>
    <w:rsid w:val="006D4E02"/>
    <w:rsid w:val="006D5773"/>
    <w:rsid w:val="006D6C50"/>
    <w:rsid w:val="006E0B34"/>
    <w:rsid w:val="006E4576"/>
    <w:rsid w:val="006F46B4"/>
    <w:rsid w:val="0070030D"/>
    <w:rsid w:val="0070615C"/>
    <w:rsid w:val="00710614"/>
    <w:rsid w:val="0073456E"/>
    <w:rsid w:val="00737E94"/>
    <w:rsid w:val="0075407B"/>
    <w:rsid w:val="0076048F"/>
    <w:rsid w:val="00771BB7"/>
    <w:rsid w:val="00777D46"/>
    <w:rsid w:val="00784C43"/>
    <w:rsid w:val="0079048F"/>
    <w:rsid w:val="00790EB1"/>
    <w:rsid w:val="00791DC0"/>
    <w:rsid w:val="007975E8"/>
    <w:rsid w:val="007B03ED"/>
    <w:rsid w:val="007B1E61"/>
    <w:rsid w:val="007B4447"/>
    <w:rsid w:val="007B4717"/>
    <w:rsid w:val="007B64B4"/>
    <w:rsid w:val="007B7AEE"/>
    <w:rsid w:val="007C417A"/>
    <w:rsid w:val="007C6341"/>
    <w:rsid w:val="007D1064"/>
    <w:rsid w:val="007D2E76"/>
    <w:rsid w:val="007D43CD"/>
    <w:rsid w:val="007F003A"/>
    <w:rsid w:val="007F0647"/>
    <w:rsid w:val="007F0684"/>
    <w:rsid w:val="007F0EDB"/>
    <w:rsid w:val="007F19C5"/>
    <w:rsid w:val="007F482B"/>
    <w:rsid w:val="007F6F21"/>
    <w:rsid w:val="00845578"/>
    <w:rsid w:val="00845CEA"/>
    <w:rsid w:val="00847C40"/>
    <w:rsid w:val="00850475"/>
    <w:rsid w:val="0085156A"/>
    <w:rsid w:val="00851BA5"/>
    <w:rsid w:val="008611D4"/>
    <w:rsid w:val="00865E64"/>
    <w:rsid w:val="00866A09"/>
    <w:rsid w:val="00867846"/>
    <w:rsid w:val="00870E17"/>
    <w:rsid w:val="0087107D"/>
    <w:rsid w:val="0088208F"/>
    <w:rsid w:val="00882D79"/>
    <w:rsid w:val="00883A86"/>
    <w:rsid w:val="0088491B"/>
    <w:rsid w:val="00890E85"/>
    <w:rsid w:val="00893117"/>
    <w:rsid w:val="008A1F9F"/>
    <w:rsid w:val="008A655B"/>
    <w:rsid w:val="008A7D1C"/>
    <w:rsid w:val="008B558E"/>
    <w:rsid w:val="008C038F"/>
    <w:rsid w:val="008C13B6"/>
    <w:rsid w:val="008C793A"/>
    <w:rsid w:val="008E0766"/>
    <w:rsid w:val="008E0AB8"/>
    <w:rsid w:val="008E3606"/>
    <w:rsid w:val="008F29F8"/>
    <w:rsid w:val="008F7E72"/>
    <w:rsid w:val="009033C6"/>
    <w:rsid w:val="0090645E"/>
    <w:rsid w:val="0091440F"/>
    <w:rsid w:val="00922602"/>
    <w:rsid w:val="009244B1"/>
    <w:rsid w:val="00925E9D"/>
    <w:rsid w:val="00926B65"/>
    <w:rsid w:val="009332DB"/>
    <w:rsid w:val="00933D34"/>
    <w:rsid w:val="009358F0"/>
    <w:rsid w:val="00935AF7"/>
    <w:rsid w:val="00945EDB"/>
    <w:rsid w:val="009465BC"/>
    <w:rsid w:val="009504F0"/>
    <w:rsid w:val="00952DD7"/>
    <w:rsid w:val="0095556E"/>
    <w:rsid w:val="00961A6F"/>
    <w:rsid w:val="009629D2"/>
    <w:rsid w:val="00965718"/>
    <w:rsid w:val="00965B6B"/>
    <w:rsid w:val="009664F4"/>
    <w:rsid w:val="00970FF6"/>
    <w:rsid w:val="009711DD"/>
    <w:rsid w:val="00971729"/>
    <w:rsid w:val="00975DB7"/>
    <w:rsid w:val="00994302"/>
    <w:rsid w:val="009943CA"/>
    <w:rsid w:val="009A539B"/>
    <w:rsid w:val="009A78DF"/>
    <w:rsid w:val="009B0C4E"/>
    <w:rsid w:val="009B342C"/>
    <w:rsid w:val="009B38FF"/>
    <w:rsid w:val="009B3A13"/>
    <w:rsid w:val="009B466D"/>
    <w:rsid w:val="009B4B98"/>
    <w:rsid w:val="009D6EB3"/>
    <w:rsid w:val="009E2C22"/>
    <w:rsid w:val="009E35BB"/>
    <w:rsid w:val="009E7864"/>
    <w:rsid w:val="009E7E82"/>
    <w:rsid w:val="009F0204"/>
    <w:rsid w:val="009F276A"/>
    <w:rsid w:val="009F317F"/>
    <w:rsid w:val="009F5E4F"/>
    <w:rsid w:val="00A04E11"/>
    <w:rsid w:val="00A07182"/>
    <w:rsid w:val="00A072ED"/>
    <w:rsid w:val="00A13532"/>
    <w:rsid w:val="00A23242"/>
    <w:rsid w:val="00A2551C"/>
    <w:rsid w:val="00A27324"/>
    <w:rsid w:val="00A302B7"/>
    <w:rsid w:val="00A304A2"/>
    <w:rsid w:val="00A363EC"/>
    <w:rsid w:val="00A422C5"/>
    <w:rsid w:val="00A5708B"/>
    <w:rsid w:val="00A63E3B"/>
    <w:rsid w:val="00A64725"/>
    <w:rsid w:val="00A64F93"/>
    <w:rsid w:val="00A7073B"/>
    <w:rsid w:val="00A7574C"/>
    <w:rsid w:val="00A764C3"/>
    <w:rsid w:val="00A84775"/>
    <w:rsid w:val="00A8612A"/>
    <w:rsid w:val="00A870F6"/>
    <w:rsid w:val="00A9058A"/>
    <w:rsid w:val="00A9216E"/>
    <w:rsid w:val="00A9356E"/>
    <w:rsid w:val="00A94433"/>
    <w:rsid w:val="00A94FB9"/>
    <w:rsid w:val="00A9773B"/>
    <w:rsid w:val="00AA729D"/>
    <w:rsid w:val="00AB193D"/>
    <w:rsid w:val="00AB36A4"/>
    <w:rsid w:val="00AB4CCA"/>
    <w:rsid w:val="00AB5E8F"/>
    <w:rsid w:val="00AC426F"/>
    <w:rsid w:val="00AC7565"/>
    <w:rsid w:val="00AC7BAD"/>
    <w:rsid w:val="00AD2DE2"/>
    <w:rsid w:val="00AE4DB7"/>
    <w:rsid w:val="00AE5237"/>
    <w:rsid w:val="00AE700C"/>
    <w:rsid w:val="00AE7491"/>
    <w:rsid w:val="00AF5303"/>
    <w:rsid w:val="00AF62AD"/>
    <w:rsid w:val="00B00D2F"/>
    <w:rsid w:val="00B013B6"/>
    <w:rsid w:val="00B07CE3"/>
    <w:rsid w:val="00B10A49"/>
    <w:rsid w:val="00B27BE6"/>
    <w:rsid w:val="00B364C6"/>
    <w:rsid w:val="00B51937"/>
    <w:rsid w:val="00B52374"/>
    <w:rsid w:val="00B529D8"/>
    <w:rsid w:val="00B577A6"/>
    <w:rsid w:val="00B611F1"/>
    <w:rsid w:val="00B61779"/>
    <w:rsid w:val="00B63715"/>
    <w:rsid w:val="00B66860"/>
    <w:rsid w:val="00B72EDF"/>
    <w:rsid w:val="00B741AE"/>
    <w:rsid w:val="00B80B03"/>
    <w:rsid w:val="00B84EB0"/>
    <w:rsid w:val="00B85D50"/>
    <w:rsid w:val="00B90AD2"/>
    <w:rsid w:val="00B92482"/>
    <w:rsid w:val="00B94957"/>
    <w:rsid w:val="00BA17AB"/>
    <w:rsid w:val="00BA6EA2"/>
    <w:rsid w:val="00BA7A19"/>
    <w:rsid w:val="00BB0B29"/>
    <w:rsid w:val="00BB1A27"/>
    <w:rsid w:val="00BC0F57"/>
    <w:rsid w:val="00BC4167"/>
    <w:rsid w:val="00BC50A1"/>
    <w:rsid w:val="00BD07F8"/>
    <w:rsid w:val="00BD202E"/>
    <w:rsid w:val="00BD24E5"/>
    <w:rsid w:val="00BD66A8"/>
    <w:rsid w:val="00BE41CA"/>
    <w:rsid w:val="00C052C8"/>
    <w:rsid w:val="00C05705"/>
    <w:rsid w:val="00C224B9"/>
    <w:rsid w:val="00C24E20"/>
    <w:rsid w:val="00C2595E"/>
    <w:rsid w:val="00C32695"/>
    <w:rsid w:val="00C349FE"/>
    <w:rsid w:val="00C42D45"/>
    <w:rsid w:val="00C44ABB"/>
    <w:rsid w:val="00C47528"/>
    <w:rsid w:val="00C50542"/>
    <w:rsid w:val="00C546EC"/>
    <w:rsid w:val="00C554FA"/>
    <w:rsid w:val="00C558D8"/>
    <w:rsid w:val="00C57769"/>
    <w:rsid w:val="00C67A5F"/>
    <w:rsid w:val="00C77D22"/>
    <w:rsid w:val="00C83E21"/>
    <w:rsid w:val="00C87101"/>
    <w:rsid w:val="00C925C1"/>
    <w:rsid w:val="00C93762"/>
    <w:rsid w:val="00C95631"/>
    <w:rsid w:val="00CA113F"/>
    <w:rsid w:val="00CA3402"/>
    <w:rsid w:val="00CA4CBE"/>
    <w:rsid w:val="00CB2A41"/>
    <w:rsid w:val="00CB2C5A"/>
    <w:rsid w:val="00CB5955"/>
    <w:rsid w:val="00CD4858"/>
    <w:rsid w:val="00CD5944"/>
    <w:rsid w:val="00CD737B"/>
    <w:rsid w:val="00CD7997"/>
    <w:rsid w:val="00CE23C2"/>
    <w:rsid w:val="00CE4CAA"/>
    <w:rsid w:val="00CF0EF5"/>
    <w:rsid w:val="00CF0F8A"/>
    <w:rsid w:val="00CF305A"/>
    <w:rsid w:val="00CF7F33"/>
    <w:rsid w:val="00D015CF"/>
    <w:rsid w:val="00D03055"/>
    <w:rsid w:val="00D11CE0"/>
    <w:rsid w:val="00D23616"/>
    <w:rsid w:val="00D30498"/>
    <w:rsid w:val="00D30EF2"/>
    <w:rsid w:val="00D45A73"/>
    <w:rsid w:val="00D4641F"/>
    <w:rsid w:val="00D62003"/>
    <w:rsid w:val="00D72EA6"/>
    <w:rsid w:val="00D8254F"/>
    <w:rsid w:val="00D84425"/>
    <w:rsid w:val="00D85189"/>
    <w:rsid w:val="00D955DE"/>
    <w:rsid w:val="00D97124"/>
    <w:rsid w:val="00DA19A4"/>
    <w:rsid w:val="00DB1C42"/>
    <w:rsid w:val="00DB3068"/>
    <w:rsid w:val="00DC0D55"/>
    <w:rsid w:val="00DC0D69"/>
    <w:rsid w:val="00DD1545"/>
    <w:rsid w:val="00DD2BA0"/>
    <w:rsid w:val="00DD38D4"/>
    <w:rsid w:val="00DD4E96"/>
    <w:rsid w:val="00DD63CB"/>
    <w:rsid w:val="00DE2A54"/>
    <w:rsid w:val="00DE5A28"/>
    <w:rsid w:val="00E105DE"/>
    <w:rsid w:val="00E12C42"/>
    <w:rsid w:val="00E1430F"/>
    <w:rsid w:val="00E20600"/>
    <w:rsid w:val="00E25CEE"/>
    <w:rsid w:val="00E26BE2"/>
    <w:rsid w:val="00E3227A"/>
    <w:rsid w:val="00E32F33"/>
    <w:rsid w:val="00E33542"/>
    <w:rsid w:val="00E361B1"/>
    <w:rsid w:val="00E41184"/>
    <w:rsid w:val="00E5057D"/>
    <w:rsid w:val="00E5739A"/>
    <w:rsid w:val="00E60469"/>
    <w:rsid w:val="00E66425"/>
    <w:rsid w:val="00E67039"/>
    <w:rsid w:val="00E74FE8"/>
    <w:rsid w:val="00E7757B"/>
    <w:rsid w:val="00E77CE8"/>
    <w:rsid w:val="00E86AB1"/>
    <w:rsid w:val="00E9605C"/>
    <w:rsid w:val="00E9714F"/>
    <w:rsid w:val="00EA5DF0"/>
    <w:rsid w:val="00EB0005"/>
    <w:rsid w:val="00EB12F6"/>
    <w:rsid w:val="00EB6FBF"/>
    <w:rsid w:val="00EC680B"/>
    <w:rsid w:val="00EE1006"/>
    <w:rsid w:val="00EE13CC"/>
    <w:rsid w:val="00EE1591"/>
    <w:rsid w:val="00EE47ED"/>
    <w:rsid w:val="00EE53B9"/>
    <w:rsid w:val="00EF7D9C"/>
    <w:rsid w:val="00F00600"/>
    <w:rsid w:val="00F24DD5"/>
    <w:rsid w:val="00F24F0E"/>
    <w:rsid w:val="00F2661C"/>
    <w:rsid w:val="00F278A4"/>
    <w:rsid w:val="00F334AB"/>
    <w:rsid w:val="00F376BE"/>
    <w:rsid w:val="00F411C9"/>
    <w:rsid w:val="00F466DD"/>
    <w:rsid w:val="00F473A4"/>
    <w:rsid w:val="00F559D0"/>
    <w:rsid w:val="00F6344C"/>
    <w:rsid w:val="00F638D4"/>
    <w:rsid w:val="00F70171"/>
    <w:rsid w:val="00F708D7"/>
    <w:rsid w:val="00F75E4E"/>
    <w:rsid w:val="00F84837"/>
    <w:rsid w:val="00F90698"/>
    <w:rsid w:val="00F97B6E"/>
    <w:rsid w:val="00FA0E21"/>
    <w:rsid w:val="00FA44FD"/>
    <w:rsid w:val="00FC0552"/>
    <w:rsid w:val="00FC0918"/>
    <w:rsid w:val="00FC0C2F"/>
    <w:rsid w:val="00FD72A7"/>
    <w:rsid w:val="00FE28EA"/>
    <w:rsid w:val="00FE29AD"/>
    <w:rsid w:val="00FE55A0"/>
    <w:rsid w:val="00FE5D13"/>
    <w:rsid w:val="00FE77C7"/>
    <w:rsid w:val="00FF19B1"/>
    <w:rsid w:val="00FF2509"/>
    <w:rsid w:val="00FF58F3"/>
    <w:rsid w:val="00FF6E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caps/>
        <w:color w:val="0F243E" w:themeColor="text2" w:themeShade="80"/>
        <w:sz w:val="24"/>
        <w:szCs w:val="28"/>
        <w:u w:val="single"/>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7B"/>
    <w:pPr>
      <w:spacing w:after="200"/>
    </w:pPr>
    <w:rPr>
      <w:rFonts w:asciiTheme="minorHAnsi" w:eastAsiaTheme="minorEastAsia" w:hAnsiTheme="minorHAnsi" w:cstheme="minorBidi"/>
      <w:iCs w:val="0"/>
      <w:caps w:val="0"/>
      <w:color w:val="auto"/>
      <w:sz w:val="22"/>
      <w:szCs w:val="22"/>
      <w:u w:val="none"/>
      <w:lang w:val="es-ES_tradnl" w:eastAsia="es-ES_tradnl"/>
    </w:rPr>
  </w:style>
  <w:style w:type="paragraph" w:styleId="Ttulo1">
    <w:name w:val="heading 1"/>
    <w:basedOn w:val="Prrafodelista"/>
    <w:next w:val="Normal"/>
    <w:link w:val="Ttulo1Car"/>
    <w:uiPriority w:val="9"/>
    <w:qFormat/>
    <w:rsid w:val="0070615C"/>
    <w:pPr>
      <w:numPr>
        <w:numId w:val="1"/>
      </w:numPr>
      <w:outlineLvl w:val="0"/>
    </w:pPr>
    <w:rPr>
      <w:rFonts w:ascii="Times New Roman" w:eastAsiaTheme="minorHAnsi" w:hAnsi="Times New Roman" w:cs="Times New Roman"/>
      <w:b/>
      <w:iCs/>
      <w:caps/>
      <w:color w:val="0F243E" w:themeColor="text2" w:themeShade="80"/>
      <w:sz w:val="24"/>
      <w:szCs w:val="28"/>
      <w:u w:val="single"/>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615C"/>
    <w:rPr>
      <w:b/>
      <w:color w:val="0F243E" w:themeColor="text2" w:themeShade="80"/>
      <w:u w:val="single"/>
    </w:rPr>
  </w:style>
  <w:style w:type="paragraph" w:styleId="Ttulo">
    <w:name w:val="Title"/>
    <w:basedOn w:val="Normal"/>
    <w:link w:val="TtuloCar"/>
    <w:qFormat/>
    <w:rsid w:val="0070615C"/>
    <w:pPr>
      <w:autoSpaceDE w:val="0"/>
      <w:autoSpaceDN w:val="0"/>
      <w:adjustRightInd w:val="0"/>
      <w:spacing w:after="0" w:line="240" w:lineRule="auto"/>
      <w:jc w:val="center"/>
    </w:pPr>
    <w:rPr>
      <w:rFonts w:ascii="Calibri" w:eastAsia="Times New Roman" w:hAnsi="Calibri" w:cs="Times New Roman"/>
      <w:b/>
      <w:bCs/>
      <w:iCs/>
      <w:caps/>
      <w:noProof/>
      <w:color w:val="0F243E" w:themeColor="text2" w:themeShade="80"/>
      <w:sz w:val="24"/>
      <w:szCs w:val="28"/>
      <w:u w:val="single"/>
      <w:lang w:val="es-ES" w:eastAsia="en-US"/>
    </w:rPr>
  </w:style>
  <w:style w:type="character" w:customStyle="1" w:styleId="TtuloCar">
    <w:name w:val="Título Car"/>
    <w:basedOn w:val="Fuentedeprrafopredeter"/>
    <w:link w:val="Ttulo"/>
    <w:rsid w:val="0070615C"/>
    <w:rPr>
      <w:rFonts w:ascii="Calibri" w:eastAsia="Times New Roman" w:hAnsi="Calibri" w:cs="Times New Roman"/>
      <w:b/>
      <w:bCs/>
      <w:caps/>
      <w:noProof/>
      <w:color w:val="0F243E" w:themeColor="text2" w:themeShade="80"/>
    </w:rPr>
  </w:style>
  <w:style w:type="paragraph" w:styleId="Prrafodelista">
    <w:name w:val="List Paragraph"/>
    <w:basedOn w:val="Normal"/>
    <w:uiPriority w:val="34"/>
    <w:qFormat/>
    <w:rsid w:val="0070615C"/>
    <w:pPr>
      <w:spacing w:after="0" w:line="240" w:lineRule="auto"/>
      <w:ind w:left="720"/>
      <w:contextualSpacing/>
      <w:jc w:val="both"/>
    </w:pPr>
    <w:rPr>
      <w:rFonts w:ascii="Calibri" w:hAnsi="Calibri"/>
      <w:szCs w:val="24"/>
      <w:lang w:eastAsia="es-ES"/>
    </w:rPr>
  </w:style>
  <w:style w:type="table" w:styleId="Tablaconcuadrcula">
    <w:name w:val="Table Grid"/>
    <w:basedOn w:val="Tablanormal"/>
    <w:uiPriority w:val="59"/>
    <w:rsid w:val="00E7757B"/>
    <w:pPr>
      <w:spacing w:line="240" w:lineRule="auto"/>
    </w:pPr>
    <w:rPr>
      <w:rFonts w:asciiTheme="minorHAnsi" w:eastAsiaTheme="minorEastAsia" w:hAnsiTheme="minorHAnsi" w:cstheme="minorBidi"/>
      <w:iCs w:val="0"/>
      <w:caps w:val="0"/>
      <w:color w:val="auto"/>
      <w:sz w:val="22"/>
      <w:szCs w:val="22"/>
      <w:u w:val="none"/>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75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7B"/>
    <w:rPr>
      <w:rFonts w:ascii="Tahoma" w:eastAsiaTheme="minorEastAsia" w:hAnsi="Tahoma" w:cs="Tahoma"/>
      <w:iCs w:val="0"/>
      <w:caps w:val="0"/>
      <w:color w:val="auto"/>
      <w:sz w:val="16"/>
      <w:szCs w:val="16"/>
      <w:u w:val="none"/>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5095</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2014-04-02T16:14:00Z</dcterms:created>
  <dcterms:modified xsi:type="dcterms:W3CDTF">2014-04-02T16:15:00Z</dcterms:modified>
</cp:coreProperties>
</file>